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9810434" w:rsidR="00D6147A" w:rsidRDefault="003F0C9C" w:rsidP="003F0C9C">
      <w:hyperlink r:id="rId6" w:history="1">
        <w:r w:rsidRPr="00427A11">
          <w:rPr>
            <w:rStyle w:val="Collegamentoipertestuale"/>
          </w:rPr>
          <w:t>https://www.larena.it/argomenti/economia/economia-nazionale/panetta-impatto-dazi-usa-pi%C3%B9-forte-su-italia-e-germania-1.12589291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C9C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7772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rena.it/argomenti/economia/economia-nazionale/panetta-impatto-dazi-usa-pi%C3%B9-forte-su-italia-e-germania-1.12589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2025-02-18T16:18:00Z</dcterms:created>
  <dcterms:modified xsi:type="dcterms:W3CDTF">2025-02-18T16:27:00Z</dcterms:modified>
</cp:coreProperties>
</file>